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944E6" w14:textId="77777777" w:rsidR="00E47982" w:rsidRPr="00E47982" w:rsidRDefault="00E47982" w:rsidP="00E47982">
      <w:r w:rsidRPr="00E47982">
        <w:t>“Technology alone is not enough—it’s technology married with the liberal arts, married with the humanities, that yields us the results that make our heart sing.” – Steve Jobs, introducing the iPad 2 in 2011 (</w:t>
      </w:r>
      <w:proofErr w:type="spellStart"/>
      <w:r w:rsidRPr="00E47982">
        <w:t>MindEdge</w:t>
      </w:r>
      <w:proofErr w:type="spellEnd"/>
      <w:r w:rsidRPr="00E47982">
        <w:t>, Inc., 2014)</w:t>
      </w:r>
    </w:p>
    <w:p w14:paraId="5534E88C" w14:textId="77777777" w:rsidR="00E47982" w:rsidRPr="00E47982" w:rsidRDefault="00E47982" w:rsidP="00E47982"/>
    <w:p w14:paraId="69CA1727" w14:textId="77777777" w:rsidR="00E47982" w:rsidRPr="00E47982" w:rsidRDefault="00E47982" w:rsidP="00E47982">
      <w:r w:rsidRPr="00E47982">
        <w:t>From your studies, you have seen how culture, belief systems, and exposure to the arts affect the way people view the world. Learning about these differences in perspective helps us to have a better understanding of what it means to be human. When we understand and value the humanistic point of view, we bring creative solutions and fresh new ideas to the challenges we face in our personal and professional lives. We are schooled in the fundamentals of close analysis, critical thinking, and teasing out the complexities of issues which have no simple right or wrong answer.</w:t>
      </w:r>
    </w:p>
    <w:p w14:paraId="08E71A46" w14:textId="77777777" w:rsidR="00E47982" w:rsidRPr="00E47982" w:rsidRDefault="00E47982" w:rsidP="00E47982"/>
    <w:p w14:paraId="24E7A082" w14:textId="77777777" w:rsidR="00E47982" w:rsidRPr="00E47982" w:rsidRDefault="00E47982" w:rsidP="00E47982">
      <w:r w:rsidRPr="00E47982">
        <w:t>In task 1, you wrote an analysis on a piece of literature. In this task, you will write an analysis (</w:t>
      </w:r>
      <w:r w:rsidRPr="00E47982">
        <w:rPr>
          <w:i/>
          <w:iCs/>
        </w:rPr>
        <w:t>suggested length of 3–5 pages</w:t>
      </w:r>
      <w:r w:rsidRPr="00E47982">
        <w:t xml:space="preserve">) of one work from the disciplines of visual art or music. Choose </w:t>
      </w:r>
      <w:r w:rsidRPr="00E47982">
        <w:rPr>
          <w:b/>
          <w:bCs/>
        </w:rPr>
        <w:t>one</w:t>
      </w:r>
      <w:r w:rsidRPr="00E47982">
        <w:t xml:space="preserve"> work from the list below:</w:t>
      </w:r>
    </w:p>
    <w:p w14:paraId="65057417" w14:textId="77777777" w:rsidR="00E47982" w:rsidRPr="00E47982" w:rsidRDefault="00E47982" w:rsidP="00E47982"/>
    <w:p w14:paraId="1D438088" w14:textId="77777777" w:rsidR="00E47982" w:rsidRPr="00E47982" w:rsidRDefault="00E47982" w:rsidP="00E47982">
      <w:r w:rsidRPr="00E47982">
        <w:rPr>
          <w:u w:val="single"/>
        </w:rPr>
        <w:t>Classical Period</w:t>
      </w:r>
      <w:r w:rsidRPr="00E47982">
        <w:br/>
        <w:t>Art:</w:t>
      </w:r>
    </w:p>
    <w:p w14:paraId="41A6A3A5" w14:textId="77777777" w:rsidR="00E47982" w:rsidRPr="00E47982" w:rsidRDefault="00E47982" w:rsidP="00E47982">
      <w:r w:rsidRPr="00E47982">
        <w:t xml:space="preserve">•    Exekias, </w:t>
      </w:r>
      <w:r w:rsidRPr="00E47982">
        <w:rPr>
          <w:i/>
          <w:iCs/>
        </w:rPr>
        <w:t>Achilles and Ajax Playing a Dice Game</w:t>
      </w:r>
      <w:r w:rsidRPr="00E47982">
        <w:t xml:space="preserve"> (Athenian black-figure amphora), ca. 540−530 BCE</w:t>
      </w:r>
    </w:p>
    <w:p w14:paraId="30E0BA4C" w14:textId="77777777" w:rsidR="00E47982" w:rsidRPr="00E47982" w:rsidRDefault="00E47982" w:rsidP="00E47982">
      <w:r w:rsidRPr="00E47982">
        <w:t xml:space="preserve">•    Praxiteles, </w:t>
      </w:r>
      <w:r w:rsidRPr="00E47982">
        <w:rPr>
          <w:i/>
          <w:iCs/>
        </w:rPr>
        <w:t>The Aphrodite of Cnidus (Knidos)</w:t>
      </w:r>
      <w:r w:rsidRPr="00E47982">
        <w:t xml:space="preserve"> c. 350 BCE</w:t>
      </w:r>
    </w:p>
    <w:p w14:paraId="3857C8C8" w14:textId="77777777" w:rsidR="00E47982" w:rsidRPr="00E47982" w:rsidRDefault="00E47982" w:rsidP="00E47982">
      <w:r w:rsidRPr="00E47982">
        <w:t xml:space="preserve">•    Alexandros of Antioch, </w:t>
      </w:r>
      <w:r w:rsidRPr="00E47982">
        <w:rPr>
          <w:i/>
          <w:iCs/>
        </w:rPr>
        <w:t>Venus de Milo</w:t>
      </w:r>
      <w:r w:rsidRPr="00E47982">
        <w:t>, between 130−100 BCE</w:t>
      </w:r>
    </w:p>
    <w:p w14:paraId="1ABE6BF6" w14:textId="77777777" w:rsidR="00E47982" w:rsidRPr="00E47982" w:rsidRDefault="00E47982" w:rsidP="00E47982">
      <w:r w:rsidRPr="00E47982">
        <w:t xml:space="preserve">•    </w:t>
      </w:r>
      <w:proofErr w:type="spellStart"/>
      <w:r w:rsidRPr="00E47982">
        <w:t>Apollodorus</w:t>
      </w:r>
      <w:proofErr w:type="spellEnd"/>
      <w:r w:rsidRPr="00E47982">
        <w:t xml:space="preserve"> of Damascus, </w:t>
      </w:r>
      <w:r w:rsidRPr="00E47982">
        <w:rPr>
          <w:i/>
          <w:iCs/>
        </w:rPr>
        <w:t>Trajan’s Column</w:t>
      </w:r>
      <w:r w:rsidRPr="00E47982">
        <w:t>, c. 107 CE</w:t>
      </w:r>
    </w:p>
    <w:p w14:paraId="164084E7" w14:textId="77777777" w:rsidR="00E47982" w:rsidRPr="00E47982" w:rsidRDefault="00E47982" w:rsidP="00E47982">
      <w:r w:rsidRPr="00E47982">
        <w:t xml:space="preserve">•    After </w:t>
      </w:r>
      <w:proofErr w:type="spellStart"/>
      <w:r w:rsidRPr="00E47982">
        <w:t>Leochares</w:t>
      </w:r>
      <w:proofErr w:type="spellEnd"/>
      <w:r w:rsidRPr="00E47982">
        <w:t xml:space="preserve">, </w:t>
      </w:r>
      <w:r w:rsidRPr="00E47982">
        <w:rPr>
          <w:i/>
          <w:iCs/>
        </w:rPr>
        <w:t>Apollo Belvedere</w:t>
      </w:r>
      <w:r w:rsidRPr="00E47982">
        <w:t>, c. 120 CE</w:t>
      </w:r>
    </w:p>
    <w:p w14:paraId="44373ECD" w14:textId="77777777" w:rsidR="00E47982" w:rsidRPr="00E47982" w:rsidRDefault="00E47982" w:rsidP="00E47982">
      <w:r w:rsidRPr="00E47982">
        <w:t xml:space="preserve">•    </w:t>
      </w:r>
      <w:proofErr w:type="spellStart"/>
      <w:r w:rsidRPr="00E47982">
        <w:t>Agesander</w:t>
      </w:r>
      <w:proofErr w:type="spellEnd"/>
      <w:r w:rsidRPr="00E47982">
        <w:t xml:space="preserve">, </w:t>
      </w:r>
      <w:proofErr w:type="spellStart"/>
      <w:r w:rsidRPr="00E47982">
        <w:t>Athenodorus</w:t>
      </w:r>
      <w:proofErr w:type="spellEnd"/>
      <w:r w:rsidRPr="00E47982">
        <w:t xml:space="preserve">, and Polydorus of Rhodes, </w:t>
      </w:r>
      <w:r w:rsidRPr="00E47982">
        <w:rPr>
          <w:i/>
          <w:iCs/>
        </w:rPr>
        <w:t>The Laocoön Group</w:t>
      </w:r>
      <w:r w:rsidRPr="00E47982">
        <w:t>, Late 2nd Century</w:t>
      </w:r>
      <w:r w:rsidRPr="00E47982">
        <w:br/>
        <w:t> </w:t>
      </w:r>
    </w:p>
    <w:p w14:paraId="167110BF" w14:textId="77777777" w:rsidR="00E47982" w:rsidRPr="00E47982" w:rsidRDefault="00E47982" w:rsidP="00E47982">
      <w:r w:rsidRPr="00E47982">
        <w:rPr>
          <w:u w:val="single"/>
        </w:rPr>
        <w:t>Renaissance</w:t>
      </w:r>
      <w:r w:rsidRPr="00E47982">
        <w:br/>
        <w:t>Art:</w:t>
      </w:r>
    </w:p>
    <w:p w14:paraId="0A9C33CD" w14:textId="77777777" w:rsidR="00E47982" w:rsidRPr="00E47982" w:rsidRDefault="00E47982" w:rsidP="00E47982">
      <w:r w:rsidRPr="00E47982">
        <w:t xml:space="preserve">•    Leonardo da Vinci, </w:t>
      </w:r>
      <w:r w:rsidRPr="00E47982">
        <w:rPr>
          <w:i/>
          <w:iCs/>
        </w:rPr>
        <w:t>Annunciation</w:t>
      </w:r>
      <w:r w:rsidRPr="00E47982">
        <w:t>, c. 1472</w:t>
      </w:r>
    </w:p>
    <w:p w14:paraId="257BECBB" w14:textId="77777777" w:rsidR="00E47982" w:rsidRPr="00E47982" w:rsidRDefault="00E47982" w:rsidP="00E47982">
      <w:r w:rsidRPr="00E47982">
        <w:t xml:space="preserve">•    Titian, </w:t>
      </w:r>
      <w:r w:rsidRPr="00E47982">
        <w:rPr>
          <w:i/>
          <w:iCs/>
        </w:rPr>
        <w:t>Bacchus and Ariadne</w:t>
      </w:r>
      <w:r w:rsidRPr="00E47982">
        <w:t>, c,1520</w:t>
      </w:r>
    </w:p>
    <w:p w14:paraId="1E3590B0" w14:textId="77777777" w:rsidR="00E47982" w:rsidRPr="00E47982" w:rsidRDefault="00E47982" w:rsidP="00E47982">
      <w:r w:rsidRPr="00E47982">
        <w:t xml:space="preserve">•    Hans Holbein the Younger, </w:t>
      </w:r>
      <w:r w:rsidRPr="00E47982">
        <w:rPr>
          <w:i/>
          <w:iCs/>
        </w:rPr>
        <w:t>The Ambassadors</w:t>
      </w:r>
      <w:r w:rsidRPr="00E47982">
        <w:t>, 1533</w:t>
      </w:r>
    </w:p>
    <w:p w14:paraId="07FC5FBF" w14:textId="77777777" w:rsidR="00E47982" w:rsidRPr="00E47982" w:rsidRDefault="00E47982" w:rsidP="00E47982">
      <w:r w:rsidRPr="00E47982">
        <w:t xml:space="preserve">•    Marcus </w:t>
      </w:r>
      <w:proofErr w:type="spellStart"/>
      <w:r w:rsidRPr="00E47982">
        <w:t>Gheeraerts</w:t>
      </w:r>
      <w:proofErr w:type="spellEnd"/>
      <w:r w:rsidRPr="00E47982">
        <w:t xml:space="preserve"> the Younger, </w:t>
      </w:r>
      <w:r w:rsidRPr="00E47982">
        <w:rPr>
          <w:i/>
          <w:iCs/>
        </w:rPr>
        <w:t>Queen Elizabeth I (Ditchley Portrait)</w:t>
      </w:r>
      <w:r w:rsidRPr="00E47982">
        <w:t>, c. 1592</w:t>
      </w:r>
      <w:r w:rsidRPr="00E47982">
        <w:br/>
        <w:t> </w:t>
      </w:r>
    </w:p>
    <w:p w14:paraId="77F1D183" w14:textId="77777777" w:rsidR="00E47982" w:rsidRPr="00E47982" w:rsidRDefault="00E47982" w:rsidP="00E47982">
      <w:r w:rsidRPr="00E47982">
        <w:t>Music:</w:t>
      </w:r>
    </w:p>
    <w:p w14:paraId="12FF9876" w14:textId="77777777" w:rsidR="00E47982" w:rsidRPr="00E47982" w:rsidRDefault="00E47982" w:rsidP="00E47982">
      <w:r w:rsidRPr="00E47982">
        <w:t xml:space="preserve">•    Josquin des </w:t>
      </w:r>
      <w:proofErr w:type="spellStart"/>
      <w:r w:rsidRPr="00E47982">
        <w:t>Prez</w:t>
      </w:r>
      <w:proofErr w:type="spellEnd"/>
      <w:r w:rsidRPr="00E47982">
        <w:t xml:space="preserve">, Mille </w:t>
      </w:r>
      <w:proofErr w:type="spellStart"/>
      <w:r w:rsidRPr="00E47982">
        <w:t>Regretz</w:t>
      </w:r>
      <w:proofErr w:type="spellEnd"/>
      <w:r w:rsidRPr="00E47982">
        <w:t xml:space="preserve"> (French Chanson), c. 1521</w:t>
      </w:r>
    </w:p>
    <w:p w14:paraId="7288A2BB" w14:textId="77777777" w:rsidR="00E47982" w:rsidRPr="00E47982" w:rsidRDefault="00E47982" w:rsidP="00E47982">
      <w:r w:rsidRPr="00E47982">
        <w:lastRenderedPageBreak/>
        <w:t xml:space="preserve">•    Giovanni </w:t>
      </w:r>
      <w:proofErr w:type="spellStart"/>
      <w:r w:rsidRPr="00E47982">
        <w:t>Pierluigi</w:t>
      </w:r>
      <w:proofErr w:type="spellEnd"/>
      <w:r w:rsidRPr="00E47982">
        <w:t xml:space="preserve"> da Palestrina, </w:t>
      </w:r>
      <w:proofErr w:type="spellStart"/>
      <w:r w:rsidRPr="00E47982">
        <w:rPr>
          <w:i/>
          <w:iCs/>
        </w:rPr>
        <w:t>Sicut</w:t>
      </w:r>
      <w:proofErr w:type="spellEnd"/>
      <w:r w:rsidRPr="00E47982">
        <w:rPr>
          <w:i/>
          <w:iCs/>
        </w:rPr>
        <w:t xml:space="preserve"> Cervus</w:t>
      </w:r>
      <w:r w:rsidRPr="00E47982">
        <w:t xml:space="preserve"> (motet), c. 1581</w:t>
      </w:r>
    </w:p>
    <w:p w14:paraId="7ED7E527" w14:textId="77777777" w:rsidR="00E47982" w:rsidRPr="00E47982" w:rsidRDefault="00E47982" w:rsidP="00E47982">
      <w:r w:rsidRPr="00E47982">
        <w:t xml:space="preserve">•    Thomas Morley, </w:t>
      </w:r>
      <w:r w:rsidRPr="00E47982">
        <w:rPr>
          <w:i/>
          <w:iCs/>
        </w:rPr>
        <w:t xml:space="preserve">Now is the Month of </w:t>
      </w:r>
      <w:proofErr w:type="spellStart"/>
      <w:r w:rsidRPr="00E47982">
        <w:rPr>
          <w:i/>
          <w:iCs/>
        </w:rPr>
        <w:t>Maying</w:t>
      </w:r>
      <w:proofErr w:type="spellEnd"/>
      <w:r w:rsidRPr="00E47982">
        <w:t>, 1595</w:t>
      </w:r>
    </w:p>
    <w:p w14:paraId="3B7F07DF" w14:textId="77777777" w:rsidR="00E47982" w:rsidRPr="00E47982" w:rsidRDefault="00E47982" w:rsidP="00E47982">
      <w:r w:rsidRPr="00E47982">
        <w:t xml:space="preserve">•    John Farmer, </w:t>
      </w:r>
      <w:r w:rsidRPr="00E47982">
        <w:rPr>
          <w:i/>
          <w:iCs/>
        </w:rPr>
        <w:t>Fair Phyllis</w:t>
      </w:r>
      <w:r w:rsidRPr="00E47982">
        <w:t xml:space="preserve"> (English Madrigal) 1599</w:t>
      </w:r>
      <w:r w:rsidRPr="00E47982">
        <w:br/>
        <w:t> </w:t>
      </w:r>
    </w:p>
    <w:p w14:paraId="135DD5D9" w14:textId="77777777" w:rsidR="00E47982" w:rsidRPr="00E47982" w:rsidRDefault="00E47982" w:rsidP="00E47982">
      <w:proofErr w:type="spellStart"/>
      <w:r w:rsidRPr="00E47982">
        <w:rPr>
          <w:u w:val="single"/>
        </w:rPr>
        <w:t>NeoClassical</w:t>
      </w:r>
      <w:proofErr w:type="spellEnd"/>
      <w:r w:rsidRPr="00E47982">
        <w:rPr>
          <w:u w:val="single"/>
        </w:rPr>
        <w:t xml:space="preserve"> (Art) / Classical (Music)</w:t>
      </w:r>
      <w:r w:rsidRPr="00E47982">
        <w:br/>
        <w:t>Art:</w:t>
      </w:r>
    </w:p>
    <w:p w14:paraId="11E1A586" w14:textId="77777777" w:rsidR="00E47982" w:rsidRPr="00E47982" w:rsidRDefault="00E47982" w:rsidP="00E47982">
      <w:r w:rsidRPr="00E47982">
        <w:t xml:space="preserve">•    Antonio Canova, </w:t>
      </w:r>
      <w:r w:rsidRPr="00E47982">
        <w:rPr>
          <w:i/>
          <w:iCs/>
        </w:rPr>
        <w:t>Psyche Revived by Cupid’s Kiss</w:t>
      </w:r>
      <w:r w:rsidRPr="00E47982">
        <w:t>, c. 1777</w:t>
      </w:r>
    </w:p>
    <w:p w14:paraId="1897C84B" w14:textId="77777777" w:rsidR="00E47982" w:rsidRPr="00E47982" w:rsidRDefault="00E47982" w:rsidP="00E47982">
      <w:r w:rsidRPr="00E47982">
        <w:t xml:space="preserve">•    Jacques Louis David, </w:t>
      </w:r>
      <w:r w:rsidRPr="00E47982">
        <w:rPr>
          <w:i/>
          <w:iCs/>
        </w:rPr>
        <w:t>The Death of Socrates</w:t>
      </w:r>
      <w:r w:rsidRPr="00E47982">
        <w:t>, 1787</w:t>
      </w:r>
    </w:p>
    <w:p w14:paraId="11EBAB15" w14:textId="77777777" w:rsidR="00E47982" w:rsidRPr="00E47982" w:rsidRDefault="00E47982" w:rsidP="00E47982">
      <w:r w:rsidRPr="00E47982">
        <w:t xml:space="preserve">•    Sir John Soane, </w:t>
      </w:r>
      <w:r w:rsidRPr="00E47982">
        <w:rPr>
          <w:i/>
          <w:iCs/>
        </w:rPr>
        <w:t>Bank of England</w:t>
      </w:r>
      <w:r w:rsidRPr="00E47982">
        <w:t>, 1788–1833</w:t>
      </w:r>
    </w:p>
    <w:p w14:paraId="190F0332" w14:textId="77777777" w:rsidR="00E47982" w:rsidRPr="00E47982" w:rsidRDefault="00E47982" w:rsidP="00E47982">
      <w:r w:rsidRPr="00E47982">
        <w:t xml:space="preserve">•    Ingres, </w:t>
      </w:r>
      <w:r w:rsidRPr="00E47982">
        <w:rPr>
          <w:i/>
          <w:iCs/>
        </w:rPr>
        <w:t>La Grande Odalisque</w:t>
      </w:r>
      <w:r w:rsidRPr="00E47982">
        <w:t>, 1814</w:t>
      </w:r>
      <w:r w:rsidRPr="00E47982">
        <w:br/>
        <w:t> </w:t>
      </w:r>
    </w:p>
    <w:p w14:paraId="6FFA6256" w14:textId="77777777" w:rsidR="00E47982" w:rsidRPr="00E47982" w:rsidRDefault="00E47982" w:rsidP="00E47982">
      <w:r w:rsidRPr="00E47982">
        <w:t>Music:</w:t>
      </w:r>
    </w:p>
    <w:p w14:paraId="739B80E3" w14:textId="77777777" w:rsidR="00E47982" w:rsidRPr="00E47982" w:rsidRDefault="00E47982" w:rsidP="00E47982">
      <w:r w:rsidRPr="00E47982">
        <w:t>•    W.A. Mozart, Piano Concerto No. 20 in D Minor, K. 466 – “</w:t>
      </w:r>
      <w:proofErr w:type="spellStart"/>
      <w:r w:rsidRPr="00E47982">
        <w:t>Romanze</w:t>
      </w:r>
      <w:proofErr w:type="spellEnd"/>
      <w:r w:rsidRPr="00E47982">
        <w:t>” (second movement), 1785</w:t>
      </w:r>
    </w:p>
    <w:p w14:paraId="2FAC8A37" w14:textId="77777777" w:rsidR="00E47982" w:rsidRPr="00E47982" w:rsidRDefault="00E47982" w:rsidP="00E47982">
      <w:r w:rsidRPr="00E47982">
        <w:t xml:space="preserve">•    W.A. Mozart, Overture to </w:t>
      </w:r>
      <w:r w:rsidRPr="00E47982">
        <w:rPr>
          <w:i/>
          <w:iCs/>
        </w:rPr>
        <w:t>The Marriage of Figaro</w:t>
      </w:r>
      <w:r w:rsidRPr="00E47982">
        <w:t xml:space="preserve"> K. 492, 1786</w:t>
      </w:r>
    </w:p>
    <w:p w14:paraId="093F1C4D" w14:textId="77777777" w:rsidR="00E47982" w:rsidRPr="00E47982" w:rsidRDefault="00E47982" w:rsidP="00E47982">
      <w:r w:rsidRPr="00E47982">
        <w:t>•    Franz Joseph Haydn, Symphony No. 94 in G Major (</w:t>
      </w:r>
      <w:r w:rsidRPr="00E47982">
        <w:rPr>
          <w:i/>
          <w:iCs/>
        </w:rPr>
        <w:t>Surprise</w:t>
      </w:r>
      <w:r w:rsidRPr="00E47982">
        <w:t>), 1792</w:t>
      </w:r>
    </w:p>
    <w:p w14:paraId="552D71EA" w14:textId="77777777" w:rsidR="00E47982" w:rsidRPr="00E47982" w:rsidRDefault="00E47982" w:rsidP="00E47982">
      <w:r w:rsidRPr="00E47982">
        <w:t>•    Ludwig van Beethoven, Symphony No. 5 in C Minor, Op. 67</w:t>
      </w:r>
      <w:proofErr w:type="gramStart"/>
      <w:r w:rsidRPr="00E47982">
        <w:t>,”Allegro</w:t>
      </w:r>
      <w:proofErr w:type="gramEnd"/>
      <w:r w:rsidRPr="00E47982">
        <w:t xml:space="preserve"> con brio” (first movement), 1804–1808</w:t>
      </w:r>
      <w:r w:rsidRPr="00E47982">
        <w:br/>
        <w:t> </w:t>
      </w:r>
    </w:p>
    <w:p w14:paraId="4B7803D6" w14:textId="77777777" w:rsidR="00E47982" w:rsidRPr="00E47982" w:rsidRDefault="00E47982" w:rsidP="00E47982">
      <w:r w:rsidRPr="00E47982">
        <w:rPr>
          <w:u w:val="single"/>
        </w:rPr>
        <w:t>Romanticism</w:t>
      </w:r>
      <w:r w:rsidRPr="00E47982">
        <w:br/>
        <w:t>Art:</w:t>
      </w:r>
    </w:p>
    <w:p w14:paraId="5637FCD0" w14:textId="77777777" w:rsidR="00E47982" w:rsidRPr="00E47982" w:rsidRDefault="00E47982" w:rsidP="00E47982">
      <w:r w:rsidRPr="00E47982">
        <w:t xml:space="preserve">•    Henry Fuseli, </w:t>
      </w:r>
      <w:r w:rsidRPr="00E47982">
        <w:rPr>
          <w:i/>
          <w:iCs/>
        </w:rPr>
        <w:t>The Nightmare</w:t>
      </w:r>
      <w:r w:rsidRPr="00E47982">
        <w:t>, 1781</w:t>
      </w:r>
    </w:p>
    <w:p w14:paraId="3CEA89C2" w14:textId="77777777" w:rsidR="00E47982" w:rsidRPr="00E47982" w:rsidRDefault="00E47982" w:rsidP="00E47982">
      <w:r w:rsidRPr="00E47982">
        <w:t xml:space="preserve">•    John Constable, </w:t>
      </w:r>
      <w:r w:rsidRPr="00E47982">
        <w:rPr>
          <w:i/>
          <w:iCs/>
        </w:rPr>
        <w:t>The Hay Wain</w:t>
      </w:r>
      <w:r w:rsidRPr="00E47982">
        <w:t>, 1821</w:t>
      </w:r>
    </w:p>
    <w:p w14:paraId="0CB3BB49" w14:textId="77777777" w:rsidR="00E47982" w:rsidRPr="00E47982" w:rsidRDefault="00E47982" w:rsidP="00E47982">
      <w:r w:rsidRPr="00E47982">
        <w:t xml:space="preserve">•    Eugene Delacroix, </w:t>
      </w:r>
      <w:r w:rsidRPr="00E47982">
        <w:rPr>
          <w:i/>
          <w:iCs/>
        </w:rPr>
        <w:t>The Death of Sardanapalus</w:t>
      </w:r>
      <w:r w:rsidRPr="00E47982">
        <w:t>, 1827</w:t>
      </w:r>
    </w:p>
    <w:p w14:paraId="662490E5" w14:textId="77777777" w:rsidR="00E47982" w:rsidRPr="00E47982" w:rsidRDefault="00E47982" w:rsidP="00E47982">
      <w:r w:rsidRPr="00E47982">
        <w:t xml:space="preserve">•    J.M.W. Turner, </w:t>
      </w:r>
      <w:r w:rsidRPr="00E47982">
        <w:rPr>
          <w:i/>
          <w:iCs/>
        </w:rPr>
        <w:t>Slave Ship</w:t>
      </w:r>
      <w:r w:rsidRPr="00E47982">
        <w:t>, 1840</w:t>
      </w:r>
      <w:r w:rsidRPr="00E47982">
        <w:br/>
        <w:t> </w:t>
      </w:r>
    </w:p>
    <w:p w14:paraId="23D795EF" w14:textId="77777777" w:rsidR="00E47982" w:rsidRPr="00E47982" w:rsidRDefault="00E47982" w:rsidP="00E47982">
      <w:r w:rsidRPr="00E47982">
        <w:t>Music:</w:t>
      </w:r>
    </w:p>
    <w:p w14:paraId="209FA527" w14:textId="77777777" w:rsidR="00E47982" w:rsidRPr="00E47982" w:rsidRDefault="00E47982" w:rsidP="00E47982">
      <w:r w:rsidRPr="00E47982">
        <w:t xml:space="preserve">•    Franz Schubert, </w:t>
      </w:r>
      <w:r w:rsidRPr="00E47982">
        <w:rPr>
          <w:i/>
          <w:iCs/>
        </w:rPr>
        <w:t>Erlking</w:t>
      </w:r>
      <w:r w:rsidRPr="00E47982">
        <w:t xml:space="preserve"> D.328 (Lied), 1815</w:t>
      </w:r>
    </w:p>
    <w:p w14:paraId="278F8CE8" w14:textId="77777777" w:rsidR="00E47982" w:rsidRPr="00E47982" w:rsidRDefault="00E47982" w:rsidP="00E47982">
      <w:r w:rsidRPr="00E47982">
        <w:t xml:space="preserve">•    Hector Berlioz, </w:t>
      </w:r>
      <w:r w:rsidRPr="00E47982">
        <w:rPr>
          <w:i/>
          <w:iCs/>
        </w:rPr>
        <w:t>Dream of the Witches’ Sabbath</w:t>
      </w:r>
      <w:r w:rsidRPr="00E47982">
        <w:t xml:space="preserve"> from </w:t>
      </w:r>
      <w:r w:rsidRPr="00E47982">
        <w:rPr>
          <w:i/>
          <w:iCs/>
        </w:rPr>
        <w:t>Symphonie fantastique</w:t>
      </w:r>
      <w:r w:rsidRPr="00E47982">
        <w:t>, 1830</w:t>
      </w:r>
    </w:p>
    <w:p w14:paraId="491D5B8D" w14:textId="77777777" w:rsidR="00E47982" w:rsidRPr="00E47982" w:rsidRDefault="00E47982" w:rsidP="00E47982">
      <w:r w:rsidRPr="00E47982">
        <w:t xml:space="preserve">•    Clara Schumann, </w:t>
      </w:r>
      <w:r w:rsidRPr="00E47982">
        <w:rPr>
          <w:i/>
          <w:iCs/>
        </w:rPr>
        <w:t>4 pieces fugitives</w:t>
      </w:r>
      <w:r w:rsidRPr="00E47982">
        <w:t>, Op.15, 1853</w:t>
      </w:r>
    </w:p>
    <w:p w14:paraId="064DFDB4" w14:textId="77777777" w:rsidR="00E47982" w:rsidRPr="00E47982" w:rsidRDefault="00E47982" w:rsidP="00E47982">
      <w:r w:rsidRPr="00E47982">
        <w:t xml:space="preserve">•    </w:t>
      </w:r>
      <w:proofErr w:type="spellStart"/>
      <w:r w:rsidRPr="00E47982">
        <w:t>Bedrich</w:t>
      </w:r>
      <w:proofErr w:type="spellEnd"/>
      <w:r w:rsidRPr="00E47982">
        <w:t xml:space="preserve"> Smetana, </w:t>
      </w:r>
      <w:r w:rsidRPr="00E47982">
        <w:rPr>
          <w:i/>
          <w:iCs/>
        </w:rPr>
        <w:t xml:space="preserve">The </w:t>
      </w:r>
      <w:proofErr w:type="spellStart"/>
      <w:r w:rsidRPr="00E47982">
        <w:rPr>
          <w:i/>
          <w:iCs/>
        </w:rPr>
        <w:t>Moldau</w:t>
      </w:r>
      <w:proofErr w:type="spellEnd"/>
      <w:r w:rsidRPr="00E47982">
        <w:rPr>
          <w:i/>
          <w:iCs/>
        </w:rPr>
        <w:t xml:space="preserve"> from </w:t>
      </w:r>
      <w:proofErr w:type="spellStart"/>
      <w:r w:rsidRPr="00E47982">
        <w:rPr>
          <w:i/>
          <w:iCs/>
        </w:rPr>
        <w:t>Má</w:t>
      </w:r>
      <w:proofErr w:type="spellEnd"/>
      <w:r w:rsidRPr="00E47982">
        <w:rPr>
          <w:i/>
          <w:iCs/>
        </w:rPr>
        <w:t xml:space="preserve"> </w:t>
      </w:r>
      <w:proofErr w:type="spellStart"/>
      <w:r w:rsidRPr="00E47982">
        <w:rPr>
          <w:i/>
          <w:iCs/>
        </w:rPr>
        <w:t>Vlast</w:t>
      </w:r>
      <w:proofErr w:type="spellEnd"/>
      <w:r w:rsidRPr="00E47982">
        <w:t>, 1874</w:t>
      </w:r>
      <w:r w:rsidRPr="00E47982">
        <w:br/>
        <w:t> </w:t>
      </w:r>
    </w:p>
    <w:p w14:paraId="790A8ED2" w14:textId="77777777" w:rsidR="00E47982" w:rsidRPr="00E47982" w:rsidRDefault="00E47982" w:rsidP="00E47982">
      <w:r w:rsidRPr="00E47982">
        <w:rPr>
          <w:u w:val="single"/>
        </w:rPr>
        <w:lastRenderedPageBreak/>
        <w:t>Realism</w:t>
      </w:r>
      <w:r w:rsidRPr="00E47982">
        <w:br/>
        <w:t>Art:</w:t>
      </w:r>
    </w:p>
    <w:p w14:paraId="2516037B" w14:textId="77777777" w:rsidR="00E47982" w:rsidRPr="00E47982" w:rsidRDefault="00E47982" w:rsidP="00E47982">
      <w:r w:rsidRPr="00E47982">
        <w:t xml:space="preserve">•    Gustave Courbet, </w:t>
      </w:r>
      <w:r w:rsidRPr="00E47982">
        <w:rPr>
          <w:i/>
          <w:iCs/>
        </w:rPr>
        <w:t>The Stone Breakers</w:t>
      </w:r>
      <w:r w:rsidRPr="00E47982">
        <w:t>, 1849</w:t>
      </w:r>
    </w:p>
    <w:p w14:paraId="58903C74" w14:textId="77777777" w:rsidR="00E47982" w:rsidRPr="00E47982" w:rsidRDefault="00E47982" w:rsidP="00E47982">
      <w:r w:rsidRPr="00E47982">
        <w:t xml:space="preserve">•    Rosa Bonheur, </w:t>
      </w:r>
      <w:r w:rsidRPr="00E47982">
        <w:rPr>
          <w:i/>
          <w:iCs/>
        </w:rPr>
        <w:t>The Horse Fair</w:t>
      </w:r>
      <w:r w:rsidRPr="00E47982">
        <w:t>, 1852-1855</w:t>
      </w:r>
    </w:p>
    <w:p w14:paraId="306C25E1" w14:textId="77777777" w:rsidR="00E47982" w:rsidRPr="00E47982" w:rsidRDefault="00E47982" w:rsidP="00E47982">
      <w:r w:rsidRPr="00E47982">
        <w:t xml:space="preserve">•    James Whistler, </w:t>
      </w:r>
      <w:r w:rsidRPr="00E47982">
        <w:rPr>
          <w:i/>
          <w:iCs/>
        </w:rPr>
        <w:t>Arrangement in Grey and Black, No.1: Portrait of the Artist's Mother</w:t>
      </w:r>
      <w:r w:rsidRPr="00E47982">
        <w:t>, 1871</w:t>
      </w:r>
    </w:p>
    <w:p w14:paraId="3FF5E641" w14:textId="77777777" w:rsidR="00E47982" w:rsidRPr="00E47982" w:rsidRDefault="00E47982" w:rsidP="00E47982">
      <w:r w:rsidRPr="00E47982">
        <w:t xml:space="preserve">•    Édouard Manet, </w:t>
      </w:r>
      <w:r w:rsidRPr="00E47982">
        <w:rPr>
          <w:i/>
          <w:iCs/>
        </w:rPr>
        <w:t>A Bar at the Folies-</w:t>
      </w:r>
      <w:proofErr w:type="spellStart"/>
      <w:r w:rsidRPr="00E47982">
        <w:rPr>
          <w:i/>
          <w:iCs/>
        </w:rPr>
        <w:t>Bergère</w:t>
      </w:r>
      <w:proofErr w:type="spellEnd"/>
      <w:r w:rsidRPr="00E47982">
        <w:t>, 1882</w:t>
      </w:r>
      <w:r w:rsidRPr="00E47982">
        <w:br/>
        <w:t> </w:t>
      </w:r>
    </w:p>
    <w:p w14:paraId="578F2A52" w14:textId="77777777" w:rsidR="00E47982" w:rsidRPr="00E47982" w:rsidRDefault="00E47982" w:rsidP="00E47982">
      <w:r w:rsidRPr="00E47982">
        <w:t>Music:</w:t>
      </w:r>
    </w:p>
    <w:p w14:paraId="2A577C68" w14:textId="77777777" w:rsidR="00E47982" w:rsidRPr="00E47982" w:rsidRDefault="00E47982" w:rsidP="00E47982">
      <w:r w:rsidRPr="00E47982">
        <w:t xml:space="preserve">•    Stephen Foster, </w:t>
      </w:r>
      <w:r w:rsidRPr="00E47982">
        <w:rPr>
          <w:i/>
          <w:iCs/>
        </w:rPr>
        <w:t>Old Folks at Home</w:t>
      </w:r>
      <w:r w:rsidRPr="00E47982">
        <w:t>,1851</w:t>
      </w:r>
    </w:p>
    <w:p w14:paraId="794C7BD8" w14:textId="77777777" w:rsidR="00E47982" w:rsidRPr="00E47982" w:rsidRDefault="00E47982" w:rsidP="00E47982">
      <w:r w:rsidRPr="00E47982">
        <w:t xml:space="preserve">•    John Philip Sousa, </w:t>
      </w:r>
      <w:r w:rsidRPr="00E47982">
        <w:rPr>
          <w:i/>
          <w:iCs/>
        </w:rPr>
        <w:t>The Stars and Stripes Forever</w:t>
      </w:r>
      <w:r w:rsidRPr="00E47982">
        <w:t>, 1896-97</w:t>
      </w:r>
    </w:p>
    <w:p w14:paraId="0637F40D" w14:textId="77777777" w:rsidR="00E47982" w:rsidRPr="00E47982" w:rsidRDefault="00E47982" w:rsidP="00E47982">
      <w:r w:rsidRPr="00E47982">
        <w:t xml:space="preserve">•    Giacomo Puccini, </w:t>
      </w:r>
      <w:proofErr w:type="spellStart"/>
      <w:r w:rsidRPr="00E47982">
        <w:rPr>
          <w:i/>
          <w:iCs/>
        </w:rPr>
        <w:t>Madama</w:t>
      </w:r>
      <w:proofErr w:type="spellEnd"/>
      <w:r w:rsidRPr="00E47982">
        <w:rPr>
          <w:i/>
          <w:iCs/>
        </w:rPr>
        <w:t xml:space="preserve"> Butterfly</w:t>
      </w:r>
      <w:r w:rsidRPr="00E47982">
        <w:t>, 1904</w:t>
      </w:r>
    </w:p>
    <w:p w14:paraId="2B9A3D76" w14:textId="77777777" w:rsidR="00E47982" w:rsidRPr="00E47982" w:rsidRDefault="00E47982" w:rsidP="00E47982">
      <w:r w:rsidRPr="00E47982">
        <w:t xml:space="preserve">•    Julia Ward Howe, </w:t>
      </w:r>
      <w:r w:rsidRPr="00E47982">
        <w:rPr>
          <w:i/>
          <w:iCs/>
        </w:rPr>
        <w:t>The Battle Hymn of the Republic</w:t>
      </w:r>
      <w:r w:rsidRPr="00E47982">
        <w:t>, 1862</w:t>
      </w:r>
      <w:r w:rsidRPr="00E47982">
        <w:br/>
        <w:t> </w:t>
      </w:r>
    </w:p>
    <w:p w14:paraId="5734AE2F" w14:textId="77777777" w:rsidR="00E47982" w:rsidRPr="00E47982" w:rsidRDefault="00E47982" w:rsidP="00E47982">
      <w:r w:rsidRPr="00E47982">
        <w:t>Use the link near the bottom of this page to access direct links to the works listed above.</w:t>
      </w:r>
      <w:r w:rsidRPr="00E47982">
        <w:br/>
      </w:r>
      <w:r w:rsidRPr="00E47982">
        <w:br/>
        <w:t>Once you have selected and viewed the work, you will create a paragraph of descriptive writing with your personal observations about the work. This paragraph must be written before you do research on the work, the artist or composer, and the period it comes from. You will need to be detailed in your description of the work.</w:t>
      </w:r>
      <w:r w:rsidRPr="00E47982">
        <w:br/>
      </w:r>
      <w:r w:rsidRPr="00E47982">
        <w:br/>
        <w:t>The next step will be to research the work, the life of the artist, and the period. You will then be ready to create your analysis. This process of analysis will require you to discuss the historical context of the work, pertinent aspects of the artist’s or composer’s biography, themes and/or stylistic characteristics of its historical period and finally, the relevance of this work for audiences today.</w:t>
      </w:r>
      <w:r w:rsidRPr="00E47982">
        <w:br/>
      </w:r>
      <w:r w:rsidRPr="00E47982">
        <w:br/>
        <w:t>The final requirement of the task will be to reflect on this process and describe how the analysis informed or altered your perception of the work.</w:t>
      </w:r>
      <w:r w:rsidRPr="00E47982">
        <w:br/>
      </w:r>
    </w:p>
    <w:p w14:paraId="1B0B2482" w14:textId="77777777" w:rsidR="00E47982" w:rsidRPr="00E47982" w:rsidRDefault="00E47982" w:rsidP="00E47982">
      <w:r w:rsidRPr="00E47982">
        <w:t>Requirements</w:t>
      </w:r>
    </w:p>
    <w:p w14:paraId="15844421" w14:textId="77777777" w:rsidR="00E47982" w:rsidRPr="00E47982" w:rsidRDefault="00E47982" w:rsidP="00E47982">
      <w:r w:rsidRPr="00E47982">
        <w:pict w14:anchorId="152D3AAD">
          <v:rect id="_x0000_i1025" style="width:665.65pt;height:.75pt" o:hrpct="0" o:hralign="center" o:hrstd="t" o:hr="t" fillcolor="#a0a0a0" stroked="f"/>
        </w:pict>
      </w:r>
    </w:p>
    <w:p w14:paraId="5771AC20" w14:textId="77777777" w:rsidR="00E47982" w:rsidRPr="00E47982" w:rsidRDefault="00E47982" w:rsidP="00E47982">
      <w:bookmarkStart w:id="0" w:name="_GoBack"/>
      <w:bookmarkEnd w:id="0"/>
    </w:p>
    <w:p w14:paraId="3EE51CF8" w14:textId="77777777" w:rsidR="00E47982" w:rsidRPr="00E47982" w:rsidRDefault="00E47982" w:rsidP="00E47982">
      <w:r w:rsidRPr="00E47982">
        <w:rPr>
          <w:i/>
          <w:iCs/>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76952BA9" w14:textId="77777777" w:rsidR="00E47982" w:rsidRPr="00E47982" w:rsidRDefault="00E47982" w:rsidP="00E47982">
      <w:r w:rsidRPr="00E47982">
        <w:br/>
      </w:r>
      <w:r w:rsidRPr="00E47982">
        <w:rPr>
          <w:i/>
          <w:iCs/>
        </w:rPr>
        <w:t xml:space="preserve">Note: When using sources to support ideas and elements in an assessment, the submission MUST include </w:t>
      </w:r>
      <w:r w:rsidRPr="00E47982">
        <w:rPr>
          <w:i/>
          <w:iCs/>
        </w:rPr>
        <w:lastRenderedPageBreak/>
        <w:t>APA formatted in-text citations with a corresponding reference list for any direct quotes or paraphrasing. It is not necessary to list sources that were consulted if they have not been quoted or paraphrased in the text of the assessment. </w:t>
      </w:r>
    </w:p>
    <w:p w14:paraId="53B8DCDE" w14:textId="77777777" w:rsidR="00E47982" w:rsidRPr="00E47982" w:rsidRDefault="00E47982" w:rsidP="00E47982"/>
    <w:p w14:paraId="75FE0ED5" w14:textId="77777777" w:rsidR="00E47982" w:rsidRPr="00E47982" w:rsidRDefault="00E47982" w:rsidP="00E47982">
      <w:r w:rsidRPr="00E47982">
        <w:t>A.  Record your initial reaction to the work (</w:t>
      </w:r>
      <w:r w:rsidRPr="00E47982">
        <w:rPr>
          <w:i/>
          <w:iCs/>
        </w:rPr>
        <w:t>suggested length of 1 paragraph or half a page</w:t>
      </w:r>
      <w:r w:rsidRPr="00E47982">
        <w:t>) by doing the following:</w:t>
      </w:r>
    </w:p>
    <w:p w14:paraId="2E8BE795" w14:textId="77777777" w:rsidR="00E47982" w:rsidRPr="00E47982" w:rsidRDefault="00E47982" w:rsidP="00E47982">
      <w:r w:rsidRPr="00E47982">
        <w:t>1.  Describe your initial thoughts and/or feelings about the work.</w:t>
      </w:r>
    </w:p>
    <w:p w14:paraId="48400FAD" w14:textId="77777777" w:rsidR="00E47982" w:rsidRPr="00E47982" w:rsidRDefault="00E47982" w:rsidP="00E47982">
      <w:r w:rsidRPr="00E47982">
        <w:t xml:space="preserve">2.  Describe in detail </w:t>
      </w:r>
      <w:r w:rsidRPr="00E47982">
        <w:rPr>
          <w:i/>
          <w:iCs/>
        </w:rPr>
        <w:t xml:space="preserve">at </w:t>
      </w:r>
      <w:proofErr w:type="gramStart"/>
      <w:r w:rsidRPr="00E47982">
        <w:rPr>
          <w:i/>
          <w:iCs/>
        </w:rPr>
        <w:t>least</w:t>
      </w:r>
      <w:r w:rsidRPr="00E47982">
        <w:t xml:space="preserve">  </w:t>
      </w:r>
      <w:r w:rsidRPr="00E47982">
        <w:rPr>
          <w:b/>
          <w:bCs/>
        </w:rPr>
        <w:t>one</w:t>
      </w:r>
      <w:proofErr w:type="gramEnd"/>
      <w:r w:rsidRPr="00E47982">
        <w:t xml:space="preserve"> aspect of the work that most interests you.</w:t>
      </w:r>
      <w:r w:rsidRPr="00E47982">
        <w:br/>
        <w:t> </w:t>
      </w:r>
    </w:p>
    <w:p w14:paraId="5CA643CD" w14:textId="77777777" w:rsidR="00E47982" w:rsidRPr="00E47982" w:rsidRDefault="00E47982" w:rsidP="00E47982">
      <w:r w:rsidRPr="00E47982">
        <w:t>B.  Analyze the work (</w:t>
      </w:r>
      <w:r w:rsidRPr="00E47982">
        <w:rPr>
          <w:i/>
          <w:iCs/>
        </w:rPr>
        <w:t>suggested length of 2–4 pages</w:t>
      </w:r>
      <w:r w:rsidRPr="00E47982">
        <w:t>) by doing the following:</w:t>
      </w:r>
    </w:p>
    <w:p w14:paraId="7183F526" w14:textId="77777777" w:rsidR="00E47982" w:rsidRPr="00E47982" w:rsidRDefault="00E47982" w:rsidP="00E47982">
      <w:r w:rsidRPr="00E47982">
        <w:t>1.  Describe the historical context of the period in which the work was created.</w:t>
      </w:r>
    </w:p>
    <w:p w14:paraId="6E609F4C" w14:textId="77777777" w:rsidR="00E47982" w:rsidRPr="00E47982" w:rsidRDefault="00E47982" w:rsidP="00E47982">
      <w:r w:rsidRPr="00E47982">
        <w:t>2.  Discuss insights into the work that can be gained from the artist’s biography.</w:t>
      </w:r>
    </w:p>
    <w:p w14:paraId="0BCC276A" w14:textId="77777777" w:rsidR="00E47982" w:rsidRPr="00E47982" w:rsidRDefault="00E47982" w:rsidP="00E47982">
      <w:r w:rsidRPr="00E47982">
        <w:t xml:space="preserve">3.  Analyze how this work explores a </w:t>
      </w:r>
      <w:proofErr w:type="gramStart"/>
      <w:r w:rsidRPr="00E47982">
        <w:t>particular theme</w:t>
      </w:r>
      <w:proofErr w:type="gramEnd"/>
      <w:r w:rsidRPr="00E47982">
        <w:t xml:space="preserve"> and/or stylistic characteristic from its period.</w:t>
      </w:r>
    </w:p>
    <w:p w14:paraId="3210CA47" w14:textId="77777777" w:rsidR="00E47982" w:rsidRPr="00E47982" w:rsidRDefault="00E47982" w:rsidP="00E47982">
      <w:r w:rsidRPr="00E47982">
        <w:t>4.  Explain the relevance of this work for today’s audiences.</w:t>
      </w:r>
      <w:r w:rsidRPr="00E47982">
        <w:br/>
        <w:t> </w:t>
      </w:r>
    </w:p>
    <w:p w14:paraId="492CC52F" w14:textId="77777777" w:rsidR="00E47982" w:rsidRPr="00E47982" w:rsidRDefault="00E47982" w:rsidP="00E47982">
      <w:r w:rsidRPr="00E47982">
        <w:t>C.  Discuss how the deeper knowledge you gained through your analysis has informed or altered your thoughts and/or feelings about the work (</w:t>
      </w:r>
      <w:r w:rsidRPr="00E47982">
        <w:rPr>
          <w:i/>
          <w:iCs/>
        </w:rPr>
        <w:t>suggested length of 1 paragraph or half a page</w:t>
      </w:r>
      <w:r w:rsidRPr="00E47982">
        <w:t>).</w:t>
      </w:r>
      <w:r w:rsidRPr="00E47982">
        <w:br/>
        <w:t> </w:t>
      </w:r>
    </w:p>
    <w:p w14:paraId="5595692D" w14:textId="77777777" w:rsidR="00E47982" w:rsidRPr="00E47982" w:rsidRDefault="00E47982" w:rsidP="00E47982">
      <w:r w:rsidRPr="00E47982">
        <w:t>D.  When you use sources to support ideas and elements in a paper or project, provide acknowledgement of source information for any content that is quoted, paraphrased or summarized. Acknowledgement of source information includes in-text citation noting specifically where in the submission the source is used and a corresponding reference, which includes the following:</w:t>
      </w:r>
    </w:p>
    <w:p w14:paraId="5FF0B9AA" w14:textId="77777777" w:rsidR="00E47982" w:rsidRPr="00E47982" w:rsidRDefault="00E47982" w:rsidP="00E47982">
      <w:r w:rsidRPr="00E47982">
        <w:t>•  author</w:t>
      </w:r>
    </w:p>
    <w:p w14:paraId="310F9230" w14:textId="77777777" w:rsidR="00E47982" w:rsidRPr="00E47982" w:rsidRDefault="00E47982" w:rsidP="00E47982">
      <w:r w:rsidRPr="00E47982">
        <w:t>•  date</w:t>
      </w:r>
    </w:p>
    <w:p w14:paraId="3D6816B3" w14:textId="77777777" w:rsidR="00E47982" w:rsidRPr="00E47982" w:rsidRDefault="00E47982" w:rsidP="00E47982">
      <w:r w:rsidRPr="00E47982">
        <w:t>•  title</w:t>
      </w:r>
    </w:p>
    <w:p w14:paraId="5D3BB402" w14:textId="77777777" w:rsidR="00E47982" w:rsidRPr="00E47982" w:rsidRDefault="00E47982" w:rsidP="00E47982">
      <w:r w:rsidRPr="00E47982">
        <w:t>•  location of information (e.g., publisher, journal, website URL)</w:t>
      </w:r>
      <w:r w:rsidRPr="00E47982">
        <w:br/>
        <w:t> </w:t>
      </w:r>
    </w:p>
    <w:p w14:paraId="5675888B" w14:textId="77777777" w:rsidR="00E47982" w:rsidRPr="00E47982" w:rsidRDefault="00E47982" w:rsidP="00E47982">
      <w:r w:rsidRPr="00E47982">
        <w:t>E.  Demonstrate professional communication in the content and presentation of your submission.</w:t>
      </w:r>
    </w:p>
    <w:p w14:paraId="760411D6" w14:textId="77777777" w:rsidR="00E17EB5" w:rsidRDefault="00E17EB5"/>
    <w:sectPr w:rsidR="00E17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82"/>
    <w:rsid w:val="00E17EB5"/>
    <w:rsid w:val="00E47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4818E"/>
  <w15:chartTrackingRefBased/>
  <w15:docId w15:val="{54385346-FE1C-420C-B802-E53289CA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721670">
      <w:bodyDiv w:val="1"/>
      <w:marLeft w:val="0"/>
      <w:marRight w:val="0"/>
      <w:marTop w:val="0"/>
      <w:marBottom w:val="0"/>
      <w:divBdr>
        <w:top w:val="none" w:sz="0" w:space="0" w:color="auto"/>
        <w:left w:val="none" w:sz="0" w:space="0" w:color="auto"/>
        <w:bottom w:val="none" w:sz="0" w:space="0" w:color="auto"/>
        <w:right w:val="none" w:sz="0" w:space="0" w:color="auto"/>
      </w:divBdr>
      <w:divsChild>
        <w:div w:id="1260408261">
          <w:marLeft w:val="450"/>
          <w:marRight w:val="450"/>
          <w:marTop w:val="0"/>
          <w:marBottom w:val="0"/>
          <w:divBdr>
            <w:top w:val="none" w:sz="0" w:space="0" w:color="auto"/>
            <w:left w:val="none" w:sz="0" w:space="0" w:color="auto"/>
            <w:bottom w:val="none" w:sz="0" w:space="0" w:color="auto"/>
            <w:right w:val="none" w:sz="0" w:space="0" w:color="auto"/>
          </w:divBdr>
        </w:div>
        <w:div w:id="58210651">
          <w:marLeft w:val="0"/>
          <w:marRight w:val="0"/>
          <w:marTop w:val="0"/>
          <w:marBottom w:val="300"/>
          <w:divBdr>
            <w:top w:val="none" w:sz="0" w:space="0" w:color="auto"/>
            <w:left w:val="none" w:sz="0" w:space="0" w:color="auto"/>
            <w:bottom w:val="none" w:sz="0" w:space="0" w:color="auto"/>
            <w:right w:val="none" w:sz="0" w:space="0" w:color="auto"/>
          </w:divBdr>
          <w:divsChild>
            <w:div w:id="771784516">
              <w:marLeft w:val="0"/>
              <w:marRight w:val="0"/>
              <w:marTop w:val="0"/>
              <w:marBottom w:val="0"/>
              <w:divBdr>
                <w:top w:val="none" w:sz="0" w:space="0" w:color="auto"/>
                <w:left w:val="none" w:sz="0" w:space="0" w:color="auto"/>
                <w:bottom w:val="none" w:sz="0" w:space="0" w:color="auto"/>
                <w:right w:val="none" w:sz="0" w:space="0" w:color="auto"/>
              </w:divBdr>
            </w:div>
          </w:divsChild>
        </w:div>
        <w:div w:id="2016837229">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2019-01-31T18:56:00Z</dcterms:created>
  <dcterms:modified xsi:type="dcterms:W3CDTF">2019-01-31T18:58:00Z</dcterms:modified>
</cp:coreProperties>
</file>